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CE8A" w14:textId="62541F0D" w:rsidR="00742A8A" w:rsidRDefault="00742A8A" w:rsidP="00742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QUICK OVERVIEW OF HOW TO NAVIGATE THE MEDICARE PART B,</w:t>
      </w:r>
    </w:p>
    <w:p w14:paraId="08EF6075" w14:textId="694F4EC6" w:rsidR="00742A8A" w:rsidRDefault="00742A8A" w:rsidP="00742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NURSING </w:t>
      </w:r>
      <w:r w:rsidR="007617E4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ALLIED HEALTH EDUCATION REIMBURSEMENT</w:t>
      </w:r>
    </w:p>
    <w:p w14:paraId="2F03EE79" w14:textId="09908949" w:rsidR="00742A8A" w:rsidRPr="00742A8A" w:rsidRDefault="00742A8A" w:rsidP="00742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ACPE ACCREDITED CPE PROGRAMS</w:t>
      </w:r>
    </w:p>
    <w:p w14:paraId="6CA94842" w14:textId="77777777" w:rsidR="00742A8A" w:rsidRDefault="00742A8A" w:rsidP="00742A8A">
      <w:pPr>
        <w:rPr>
          <w:b/>
          <w:sz w:val="28"/>
          <w:szCs w:val="28"/>
          <w:u w:val="single"/>
        </w:rPr>
      </w:pPr>
    </w:p>
    <w:p w14:paraId="200E2198" w14:textId="44E051A7" w:rsidR="00742A8A" w:rsidRPr="008276EE" w:rsidRDefault="00742A8A" w:rsidP="00742A8A">
      <w:pPr>
        <w:rPr>
          <w:b/>
          <w:u w:val="single"/>
        </w:rPr>
      </w:pPr>
      <w:r w:rsidRPr="008276EE">
        <w:rPr>
          <w:b/>
          <w:u w:val="single"/>
        </w:rPr>
        <w:t>Requirements for CPE Programs – CMS</w:t>
      </w:r>
    </w:p>
    <w:p w14:paraId="592B7871" w14:textId="77777777" w:rsidR="00742A8A" w:rsidRPr="00255D67" w:rsidRDefault="00742A8A" w:rsidP="00742A8A">
      <w:pPr>
        <w:rPr>
          <w:b/>
          <w:sz w:val="20"/>
          <w:szCs w:val="20"/>
          <w:u w:val="single"/>
        </w:rPr>
      </w:pPr>
    </w:p>
    <w:p w14:paraId="73B8780A" w14:textId="77777777" w:rsidR="00742A8A" w:rsidRPr="008276EE" w:rsidRDefault="00742A8A" w:rsidP="008276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</w:rPr>
      </w:pPr>
      <w:r w:rsidRPr="008276EE">
        <w:rPr>
          <w:rFonts w:cstheme="minorHAnsi"/>
          <w:b/>
        </w:rPr>
        <w:t xml:space="preserve">To be eligible for reimbursement, </w:t>
      </w:r>
      <w:r w:rsidRPr="008276EE">
        <w:rPr>
          <w:rFonts w:cstheme="minorHAnsi"/>
          <w:b/>
          <w:i/>
        </w:rPr>
        <w:t>programs</w:t>
      </w:r>
      <w:r w:rsidRPr="008276EE">
        <w:rPr>
          <w:rFonts w:cstheme="minorHAnsi"/>
          <w:b/>
        </w:rPr>
        <w:t xml:space="preserve"> must be:</w:t>
      </w:r>
    </w:p>
    <w:p w14:paraId="06E2148B" w14:textId="22F1DA38" w:rsidR="00742A8A" w:rsidRPr="008276EE" w:rsidRDefault="00742A8A" w:rsidP="008276EE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An approved educational activity as defined by Health Care Financing Administration (H</w:t>
      </w:r>
      <w:r w:rsidR="001057CC" w:rsidRPr="008276EE">
        <w:rPr>
          <w:rFonts w:cstheme="minorHAnsi"/>
          <w:bCs/>
        </w:rPr>
        <w:t>CF</w:t>
      </w:r>
      <w:r w:rsidRPr="008276EE">
        <w:rPr>
          <w:rFonts w:cstheme="minorHAnsi"/>
          <w:bCs/>
        </w:rPr>
        <w:t>A) regulations</w:t>
      </w:r>
    </w:p>
    <w:p w14:paraId="2A3AC42E" w14:textId="77777777" w:rsidR="00742A8A" w:rsidRPr="008276EE" w:rsidRDefault="00742A8A" w:rsidP="008276EE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If it’s a non-provider-operated program, it must meet specific HCFA criteria </w:t>
      </w:r>
      <w:proofErr w:type="gramStart"/>
      <w:r w:rsidRPr="008276EE">
        <w:rPr>
          <w:rFonts w:cstheme="minorHAnsi"/>
          <w:bCs/>
        </w:rPr>
        <w:t>in order for</w:t>
      </w:r>
      <w:proofErr w:type="gramEnd"/>
      <w:r w:rsidRPr="008276EE">
        <w:rPr>
          <w:rFonts w:cstheme="minorHAnsi"/>
          <w:bCs/>
        </w:rPr>
        <w:t xml:space="preserve"> providers to claim eligibility</w:t>
      </w:r>
    </w:p>
    <w:p w14:paraId="25C183C0" w14:textId="398DAB36" w:rsidR="00742A8A" w:rsidRPr="008276EE" w:rsidRDefault="00742A8A" w:rsidP="008276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</w:rPr>
      </w:pPr>
      <w:r w:rsidRPr="008276EE">
        <w:rPr>
          <w:rFonts w:cstheme="minorHAnsi"/>
          <w:b/>
        </w:rPr>
        <w:t xml:space="preserve">To be eligible for reimbursement for nursing </w:t>
      </w:r>
      <w:r w:rsidR="007617E4">
        <w:rPr>
          <w:rFonts w:cstheme="minorHAnsi"/>
          <w:b/>
        </w:rPr>
        <w:t>and</w:t>
      </w:r>
      <w:r w:rsidRPr="008276EE">
        <w:rPr>
          <w:rFonts w:cstheme="minorHAnsi"/>
          <w:b/>
        </w:rPr>
        <w:t xml:space="preserve"> allied health</w:t>
      </w:r>
      <w:r w:rsidR="008276EE" w:rsidRPr="008276EE">
        <w:rPr>
          <w:rFonts w:cstheme="minorHAnsi"/>
          <w:b/>
        </w:rPr>
        <w:t xml:space="preserve"> </w:t>
      </w:r>
      <w:r w:rsidRPr="008276EE">
        <w:rPr>
          <w:rFonts w:cstheme="minorHAnsi"/>
          <w:b/>
        </w:rPr>
        <w:t xml:space="preserve">education programs, </w:t>
      </w:r>
      <w:r w:rsidRPr="008276EE">
        <w:rPr>
          <w:rFonts w:cstheme="minorHAnsi"/>
          <w:b/>
          <w:i/>
        </w:rPr>
        <w:t>providers</w:t>
      </w:r>
      <w:r w:rsidRPr="008276EE">
        <w:rPr>
          <w:rFonts w:cstheme="minorHAnsi"/>
          <w:b/>
        </w:rPr>
        <w:t xml:space="preserve"> (acute care hospitals) must:</w:t>
      </w:r>
    </w:p>
    <w:p w14:paraId="0BE82A61" w14:textId="334D5A3B" w:rsidR="00742A8A" w:rsidRPr="008276EE" w:rsidRDefault="00742A8A" w:rsidP="008276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Directly incur the training costs</w:t>
      </w:r>
    </w:p>
    <w:p w14:paraId="64AE859B" w14:textId="77777777" w:rsidR="00742A8A" w:rsidRPr="008276EE" w:rsidRDefault="00742A8A" w:rsidP="008276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Directly control the program’s curriculum</w:t>
      </w:r>
    </w:p>
    <w:p w14:paraId="16487842" w14:textId="77777777" w:rsidR="00742A8A" w:rsidRPr="008276EE" w:rsidRDefault="00742A8A" w:rsidP="008276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Control the administration of the program, including collection of tuition</w:t>
      </w:r>
    </w:p>
    <w:p w14:paraId="753A337F" w14:textId="77777777" w:rsidR="00742A8A" w:rsidRPr="008276EE" w:rsidRDefault="00742A8A" w:rsidP="008276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Employ the teaching staff</w:t>
      </w:r>
    </w:p>
    <w:p w14:paraId="54D67FD4" w14:textId="6750E8D3" w:rsidR="00742A8A" w:rsidRPr="008276EE" w:rsidRDefault="00742A8A" w:rsidP="008276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Provide </w:t>
      </w:r>
      <w:r w:rsidR="007617E4">
        <w:rPr>
          <w:rFonts w:cstheme="minorHAnsi"/>
          <w:bCs/>
        </w:rPr>
        <w:t>and</w:t>
      </w:r>
      <w:r w:rsidRPr="008276EE">
        <w:rPr>
          <w:rFonts w:cstheme="minorHAnsi"/>
          <w:bCs/>
        </w:rPr>
        <w:t xml:space="preserve"> control both classroom instruction and clinical training</w:t>
      </w:r>
    </w:p>
    <w:p w14:paraId="43F2C90C" w14:textId="77777777" w:rsidR="00742A8A" w:rsidRPr="008276EE" w:rsidRDefault="00742A8A" w:rsidP="008276EE">
      <w:pPr>
        <w:spacing w:line="276" w:lineRule="auto"/>
        <w:rPr>
          <w:rFonts w:cstheme="minorHAnsi"/>
          <w:b/>
        </w:rPr>
      </w:pPr>
    </w:p>
    <w:p w14:paraId="5417B3D0" w14:textId="589F9E37" w:rsidR="00742A8A" w:rsidRPr="008276EE" w:rsidRDefault="00742A8A" w:rsidP="008276EE">
      <w:pPr>
        <w:spacing w:line="276" w:lineRule="auto"/>
        <w:rPr>
          <w:rFonts w:cstheme="minorHAnsi"/>
          <w:b/>
        </w:rPr>
      </w:pPr>
      <w:r w:rsidRPr="008276EE">
        <w:rPr>
          <w:rFonts w:cstheme="minorHAnsi"/>
          <w:b/>
          <w:u w:val="single"/>
        </w:rPr>
        <w:t>Implementing CMS Requirements – Key Elements</w:t>
      </w:r>
    </w:p>
    <w:p w14:paraId="2C5A2654" w14:textId="77777777" w:rsidR="00742A8A" w:rsidRPr="008276EE" w:rsidRDefault="00742A8A" w:rsidP="008276EE">
      <w:pPr>
        <w:spacing w:line="276" w:lineRule="auto"/>
        <w:rPr>
          <w:rFonts w:cstheme="minorHAnsi"/>
          <w:b/>
          <w:u w:val="single"/>
        </w:rPr>
      </w:pPr>
    </w:p>
    <w:p w14:paraId="0FA957C6" w14:textId="73B4ED87" w:rsidR="00742A8A" w:rsidRPr="008276EE" w:rsidRDefault="008276EE" w:rsidP="008276E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/>
        </w:rPr>
      </w:pPr>
      <w:r w:rsidRPr="008276EE">
        <w:rPr>
          <w:rFonts w:cstheme="minorHAnsi"/>
          <w:bCs/>
        </w:rPr>
        <w:t>T</w:t>
      </w:r>
      <w:r w:rsidR="00742A8A" w:rsidRPr="008276EE">
        <w:rPr>
          <w:rFonts w:cstheme="minorHAnsi"/>
          <w:bCs/>
        </w:rPr>
        <w:t xml:space="preserve">o </w:t>
      </w:r>
      <w:proofErr w:type="gramStart"/>
      <w:r w:rsidR="00742A8A" w:rsidRPr="008276EE">
        <w:rPr>
          <w:rFonts w:cstheme="minorHAnsi"/>
          <w:bCs/>
        </w:rPr>
        <w:t>be in compliance with</w:t>
      </w:r>
      <w:proofErr w:type="gramEnd"/>
      <w:r w:rsidR="00742A8A" w:rsidRPr="008276EE">
        <w:rPr>
          <w:rFonts w:cstheme="minorHAnsi"/>
          <w:bCs/>
        </w:rPr>
        <w:t xml:space="preserve"> CMS regulations </w:t>
      </w:r>
      <w:r>
        <w:rPr>
          <w:rFonts w:cstheme="minorHAnsi"/>
          <w:bCs/>
        </w:rPr>
        <w:t>and</w:t>
      </w:r>
      <w:r w:rsidR="00742A8A" w:rsidRPr="008276EE">
        <w:rPr>
          <w:rFonts w:cstheme="minorHAnsi"/>
          <w:bCs/>
        </w:rPr>
        <w:t xml:space="preserve"> to maximize the</w:t>
      </w:r>
      <w:r w:rsidRPr="008276EE">
        <w:rPr>
          <w:rFonts w:cstheme="minorHAnsi"/>
          <w:bCs/>
        </w:rPr>
        <w:t xml:space="preserve"> </w:t>
      </w:r>
      <w:r w:rsidR="00742A8A" w:rsidRPr="008276EE">
        <w:rPr>
          <w:rFonts w:cstheme="minorHAnsi"/>
          <w:bCs/>
        </w:rPr>
        <w:t xml:space="preserve">educational reimbursement for each entity-based CPE Program, </w:t>
      </w:r>
      <w:r w:rsidR="00742A8A" w:rsidRPr="008276EE">
        <w:rPr>
          <w:rFonts w:cstheme="minorHAnsi"/>
          <w:b/>
        </w:rPr>
        <w:t xml:space="preserve">it is necessary to establish a </w:t>
      </w:r>
      <w:r w:rsidR="00742A8A" w:rsidRPr="008276EE">
        <w:rPr>
          <w:rFonts w:cstheme="minorHAnsi"/>
          <w:b/>
          <w:i/>
        </w:rPr>
        <w:t>CPE Cost Center</w:t>
      </w:r>
      <w:r w:rsidR="00742A8A" w:rsidRPr="008276EE">
        <w:rPr>
          <w:rFonts w:cstheme="minorHAnsi"/>
          <w:b/>
        </w:rPr>
        <w:t xml:space="preserve"> therein.</w:t>
      </w:r>
    </w:p>
    <w:p w14:paraId="73751278" w14:textId="08F4DB4A" w:rsidR="00742A8A" w:rsidRPr="008276EE" w:rsidRDefault="00742A8A" w:rsidP="008276E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This requires making sure that all income and costs related to the CPE Program are captured in that cost center, including endowment monies, tuition, contracts, salaries, stipends, supplies, training</w:t>
      </w:r>
      <w:r w:rsidR="008276EE" w:rsidRPr="008276EE">
        <w:rPr>
          <w:rFonts w:cstheme="minorHAnsi"/>
          <w:bCs/>
        </w:rPr>
        <w:t xml:space="preserve"> </w:t>
      </w:r>
      <w:r w:rsidRPr="008276EE">
        <w:rPr>
          <w:rFonts w:cstheme="minorHAnsi"/>
          <w:bCs/>
        </w:rPr>
        <w:t>materials, etc.</w:t>
      </w:r>
    </w:p>
    <w:p w14:paraId="2DD4A5B2" w14:textId="0B2CDF2C" w:rsidR="00742A8A" w:rsidRPr="008276EE" w:rsidRDefault="008276EE" w:rsidP="008276E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W</w:t>
      </w:r>
      <w:r w:rsidR="00742A8A" w:rsidRPr="008276EE">
        <w:rPr>
          <w:rFonts w:cstheme="minorHAnsi"/>
          <w:bCs/>
        </w:rPr>
        <w:t xml:space="preserve">e </w:t>
      </w:r>
      <w:r w:rsidRPr="008276EE">
        <w:rPr>
          <w:rFonts w:cstheme="minorHAnsi"/>
          <w:bCs/>
        </w:rPr>
        <w:t>must</w:t>
      </w:r>
      <w:r w:rsidR="00742A8A" w:rsidRPr="008276EE">
        <w:rPr>
          <w:rFonts w:cstheme="minorHAnsi"/>
          <w:bCs/>
        </w:rPr>
        <w:t xml:space="preserve"> establish </w:t>
      </w:r>
      <w:r>
        <w:rPr>
          <w:rFonts w:cstheme="minorHAnsi"/>
          <w:bCs/>
        </w:rPr>
        <w:t>and</w:t>
      </w:r>
      <w:r w:rsidR="00742A8A" w:rsidRPr="008276EE">
        <w:rPr>
          <w:rFonts w:cstheme="minorHAnsi"/>
          <w:bCs/>
        </w:rPr>
        <w:t xml:space="preserve"> maintain </w:t>
      </w:r>
      <w:r w:rsidR="00742A8A" w:rsidRPr="008276EE">
        <w:rPr>
          <w:rFonts w:cstheme="minorHAnsi"/>
          <w:b/>
          <w:i/>
        </w:rPr>
        <w:t>clear lines of accountability</w:t>
      </w:r>
      <w:r w:rsidRPr="008276EE">
        <w:rPr>
          <w:rFonts w:cstheme="minorHAnsi"/>
          <w:bCs/>
          <w:i/>
        </w:rPr>
        <w:t xml:space="preserve"> </w:t>
      </w:r>
      <w:r w:rsidRPr="008276EE">
        <w:rPr>
          <w:rFonts w:cstheme="minorHAnsi"/>
          <w:bCs/>
          <w:iCs/>
        </w:rPr>
        <w:t>r</w:t>
      </w:r>
      <w:r w:rsidR="00742A8A" w:rsidRPr="008276EE">
        <w:rPr>
          <w:rFonts w:cstheme="minorHAnsi"/>
          <w:bCs/>
          <w:iCs/>
        </w:rPr>
        <w:t>egarding</w:t>
      </w:r>
      <w:r w:rsidR="00742A8A" w:rsidRPr="008276EE">
        <w:rPr>
          <w:rFonts w:cstheme="minorHAnsi"/>
          <w:bCs/>
        </w:rPr>
        <w:t xml:space="preserve"> reporting for the Certified Educator at each </w:t>
      </w:r>
      <w:r w:rsidR="001057CC" w:rsidRPr="008276EE">
        <w:rPr>
          <w:rFonts w:cstheme="minorHAnsi"/>
          <w:bCs/>
        </w:rPr>
        <w:t>entity</w:t>
      </w:r>
      <w:r w:rsidR="00742A8A" w:rsidRPr="008276EE">
        <w:rPr>
          <w:rFonts w:cstheme="minorHAnsi"/>
          <w:bCs/>
        </w:rPr>
        <w:t>.  The organizational chart must reflect the way the CPE Program is “owned” by the entity.</w:t>
      </w:r>
    </w:p>
    <w:p w14:paraId="7F57AC1A" w14:textId="571AE40D" w:rsidR="00742A8A" w:rsidRPr="008276EE" w:rsidRDefault="00742A8A" w:rsidP="008276EE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A part of the organizational chart should include </w:t>
      </w:r>
      <w:r w:rsidRPr="007617E4">
        <w:rPr>
          <w:rFonts w:cstheme="minorHAnsi"/>
          <w:bCs/>
          <w:iCs/>
        </w:rPr>
        <w:t xml:space="preserve">the </w:t>
      </w:r>
      <w:r w:rsidRPr="007617E4">
        <w:rPr>
          <w:rFonts w:cstheme="minorHAnsi"/>
          <w:b/>
          <w:i/>
        </w:rPr>
        <w:t>CPE Program’s Professional Advisory Group</w:t>
      </w:r>
      <w:r w:rsidRPr="007617E4">
        <w:rPr>
          <w:rFonts w:cstheme="minorHAnsi"/>
          <w:bCs/>
        </w:rPr>
        <w:t>, a</w:t>
      </w:r>
      <w:r w:rsidRPr="008276EE">
        <w:rPr>
          <w:rFonts w:cstheme="minorHAnsi"/>
          <w:bCs/>
        </w:rPr>
        <w:t xml:space="preserve"> representative group of individuals from both inside and outside the hospital who are invested in</w:t>
      </w:r>
      <w:r w:rsidR="008276EE" w:rsidRPr="008276EE">
        <w:rPr>
          <w:rFonts w:cstheme="minorHAnsi"/>
          <w:bCs/>
        </w:rPr>
        <w:t xml:space="preserve"> </w:t>
      </w:r>
      <w:r w:rsidRPr="008276EE">
        <w:rPr>
          <w:rFonts w:cstheme="minorHAnsi"/>
          <w:bCs/>
        </w:rPr>
        <w:t>ensuring quality programming– another demonstration that the entity has ownership of the CPE Program.</w:t>
      </w:r>
    </w:p>
    <w:p w14:paraId="7F11448E" w14:textId="605F125D" w:rsidR="00742A8A" w:rsidRPr="008276EE" w:rsidRDefault="00742A8A" w:rsidP="008276EE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Equally important is the </w:t>
      </w:r>
      <w:r w:rsidRPr="007617E4">
        <w:rPr>
          <w:rFonts w:cstheme="minorHAnsi"/>
          <w:b/>
        </w:rPr>
        <w:t xml:space="preserve">creative collaboration with the </w:t>
      </w:r>
      <w:r w:rsidRPr="007617E4">
        <w:rPr>
          <w:rFonts w:cstheme="minorHAnsi"/>
          <w:b/>
          <w:i/>
        </w:rPr>
        <w:t>Entity-based</w:t>
      </w:r>
      <w:r w:rsidR="008276EE" w:rsidRPr="007617E4">
        <w:rPr>
          <w:rFonts w:cstheme="minorHAnsi"/>
          <w:b/>
          <w:i/>
        </w:rPr>
        <w:t xml:space="preserve"> </w:t>
      </w:r>
      <w:r w:rsidRPr="007617E4">
        <w:rPr>
          <w:rFonts w:cstheme="minorHAnsi"/>
          <w:b/>
          <w:i/>
        </w:rPr>
        <w:t>HR departments</w:t>
      </w:r>
      <w:r w:rsidRPr="008276EE">
        <w:rPr>
          <w:rFonts w:cstheme="minorHAnsi"/>
          <w:bCs/>
        </w:rPr>
        <w:t xml:space="preserve"> in working with students.  </w:t>
      </w:r>
      <w:r w:rsidR="008276EE">
        <w:rPr>
          <w:rFonts w:cstheme="minorHAnsi"/>
          <w:bCs/>
        </w:rPr>
        <w:t>ACPE s</w:t>
      </w:r>
      <w:r w:rsidRPr="008276EE">
        <w:rPr>
          <w:rFonts w:cstheme="minorHAnsi"/>
          <w:bCs/>
        </w:rPr>
        <w:t xml:space="preserve">tudents often </w:t>
      </w:r>
      <w:r w:rsidR="008276EE" w:rsidRPr="008276EE">
        <w:rPr>
          <w:rFonts w:cstheme="minorHAnsi"/>
          <w:bCs/>
        </w:rPr>
        <w:t>pose challenges</w:t>
      </w:r>
      <w:r w:rsidRPr="008276EE">
        <w:rPr>
          <w:rFonts w:cstheme="minorHAnsi"/>
          <w:bCs/>
        </w:rPr>
        <w:t xml:space="preserve"> for HR departments that are essentially designed to</w:t>
      </w:r>
      <w:r w:rsidR="008276EE" w:rsidRPr="008276EE">
        <w:rPr>
          <w:rFonts w:cstheme="minorHAnsi"/>
          <w:bCs/>
        </w:rPr>
        <w:t xml:space="preserve"> </w:t>
      </w:r>
      <w:r w:rsidRPr="008276EE">
        <w:rPr>
          <w:rFonts w:cstheme="minorHAnsi"/>
          <w:bCs/>
        </w:rPr>
        <w:t>recruit nurses</w:t>
      </w:r>
      <w:r w:rsidR="007617E4">
        <w:rPr>
          <w:rFonts w:cstheme="minorHAnsi"/>
          <w:bCs/>
        </w:rPr>
        <w:t>,</w:t>
      </w:r>
      <w:r w:rsidRPr="008276EE">
        <w:rPr>
          <w:rFonts w:cstheme="minorHAnsi"/>
          <w:bCs/>
        </w:rPr>
        <w:t xml:space="preserve"> doctors and support staff for acute care hospitals. That</w:t>
      </w:r>
      <w:r w:rsidR="007617E4">
        <w:rPr>
          <w:rFonts w:cstheme="minorHAnsi"/>
          <w:bCs/>
        </w:rPr>
        <w:t xml:space="preserve"> is</w:t>
      </w:r>
      <w:r w:rsidRPr="008276EE">
        <w:rPr>
          <w:rFonts w:cstheme="minorHAnsi"/>
          <w:bCs/>
        </w:rPr>
        <w:t xml:space="preserve"> particularly true for non-teaching hospitals.  </w:t>
      </w:r>
      <w:r w:rsidRPr="007617E4">
        <w:rPr>
          <w:rFonts w:cstheme="minorHAnsi"/>
          <w:b/>
        </w:rPr>
        <w:t>We must help create a special process that honors and accommodates the integrity</w:t>
      </w:r>
      <w:r w:rsidR="008276EE" w:rsidRPr="007617E4">
        <w:rPr>
          <w:rFonts w:cstheme="minorHAnsi"/>
          <w:b/>
        </w:rPr>
        <w:t xml:space="preserve"> </w:t>
      </w:r>
      <w:r w:rsidRPr="007617E4">
        <w:rPr>
          <w:rFonts w:cstheme="minorHAnsi"/>
          <w:b/>
        </w:rPr>
        <w:t>of the students’ educational experience.</w:t>
      </w:r>
      <w:r w:rsidRPr="008276EE">
        <w:rPr>
          <w:rFonts w:cstheme="minorHAnsi"/>
          <w:bCs/>
        </w:rPr>
        <w:t xml:space="preserve">  </w:t>
      </w:r>
    </w:p>
    <w:p w14:paraId="1EB2B5F3" w14:textId="5A3761B2" w:rsidR="00742A8A" w:rsidRPr="008276EE" w:rsidRDefault="00742A8A" w:rsidP="008276EE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lastRenderedPageBreak/>
        <w:t xml:space="preserve">Related to the establishment of a CPE Cost Center, is the importance of building </w:t>
      </w:r>
      <w:r w:rsidRPr="007617E4">
        <w:rPr>
          <w:rFonts w:cstheme="minorHAnsi"/>
          <w:b/>
        </w:rPr>
        <w:t xml:space="preserve">a strong working relationship with the </w:t>
      </w:r>
      <w:r w:rsidRPr="007617E4">
        <w:rPr>
          <w:rFonts w:cstheme="minorHAnsi"/>
          <w:b/>
          <w:i/>
        </w:rPr>
        <w:t>Finance officers</w:t>
      </w:r>
      <w:r w:rsidRPr="008276EE">
        <w:rPr>
          <w:rFonts w:cstheme="minorHAnsi"/>
          <w:bCs/>
          <w:i/>
        </w:rPr>
        <w:t xml:space="preserve"> in each Entity</w:t>
      </w:r>
      <w:r w:rsidRPr="008276EE">
        <w:rPr>
          <w:rFonts w:cstheme="minorHAnsi"/>
          <w:bCs/>
        </w:rPr>
        <w:t>.  Making sure they are aware of any changes in FTEs, any new costs to be incurred, and what plans there might be for the upcoming budget year is critical.</w:t>
      </w:r>
    </w:p>
    <w:p w14:paraId="7030D3D4" w14:textId="70362B56" w:rsidR="00742A8A" w:rsidRPr="008276EE" w:rsidRDefault="00742A8A" w:rsidP="008276EE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And last, but not least, are </w:t>
      </w:r>
      <w:r w:rsidRPr="007617E4">
        <w:rPr>
          <w:rFonts w:cstheme="minorHAnsi"/>
          <w:b/>
          <w:i/>
        </w:rPr>
        <w:t>the Reimbursement Officers</w:t>
      </w:r>
      <w:r w:rsidRPr="008276EE">
        <w:rPr>
          <w:rFonts w:cstheme="minorHAnsi"/>
          <w:bCs/>
        </w:rPr>
        <w:t xml:space="preserve"> who</w:t>
      </w:r>
      <w:r w:rsidR="008276EE" w:rsidRPr="008276EE">
        <w:rPr>
          <w:rFonts w:cstheme="minorHAnsi"/>
          <w:bCs/>
        </w:rPr>
        <w:t xml:space="preserve"> </w:t>
      </w:r>
      <w:r w:rsidRPr="008276EE">
        <w:rPr>
          <w:rFonts w:cstheme="minorHAnsi"/>
          <w:bCs/>
        </w:rPr>
        <w:t xml:space="preserve">represent CPE </w:t>
      </w:r>
      <w:r w:rsidR="007617E4">
        <w:rPr>
          <w:rFonts w:cstheme="minorHAnsi"/>
          <w:bCs/>
        </w:rPr>
        <w:t>and</w:t>
      </w:r>
      <w:r w:rsidRPr="008276EE">
        <w:rPr>
          <w:rFonts w:cstheme="minorHAnsi"/>
          <w:bCs/>
        </w:rPr>
        <w:t xml:space="preserve"> other allied health groups to the CMS auditors or Intermediaries.  </w:t>
      </w:r>
      <w:r w:rsidRPr="007617E4">
        <w:rPr>
          <w:rFonts w:cstheme="minorHAnsi"/>
          <w:b/>
        </w:rPr>
        <w:t>This relationship needs to be well-defined</w:t>
      </w:r>
      <w:r w:rsidR="007617E4">
        <w:rPr>
          <w:rFonts w:cstheme="minorHAnsi"/>
          <w:b/>
        </w:rPr>
        <w:t xml:space="preserve"> as</w:t>
      </w:r>
      <w:r w:rsidRPr="007617E4">
        <w:rPr>
          <w:rFonts w:cstheme="minorHAnsi"/>
          <w:b/>
        </w:rPr>
        <w:t xml:space="preserve"> the </w:t>
      </w:r>
      <w:r w:rsidR="008276EE" w:rsidRPr="007617E4">
        <w:rPr>
          <w:rFonts w:cstheme="minorHAnsi"/>
          <w:b/>
        </w:rPr>
        <w:t>ma</w:t>
      </w:r>
      <w:r w:rsidRPr="007617E4">
        <w:rPr>
          <w:rFonts w:cstheme="minorHAnsi"/>
          <w:b/>
        </w:rPr>
        <w:t>terials needed for audit need to be created collaboratively and</w:t>
      </w:r>
      <w:r w:rsidR="008276EE" w:rsidRPr="007617E4">
        <w:rPr>
          <w:rFonts w:cstheme="minorHAnsi"/>
          <w:b/>
        </w:rPr>
        <w:t xml:space="preserve"> </w:t>
      </w:r>
      <w:r w:rsidRPr="007617E4">
        <w:rPr>
          <w:rFonts w:cstheme="minorHAnsi"/>
          <w:b/>
        </w:rPr>
        <w:t>the specifics of the eligible costs for reimbursement need to be</w:t>
      </w:r>
      <w:r w:rsidR="008276EE" w:rsidRPr="007617E4">
        <w:rPr>
          <w:rFonts w:cstheme="minorHAnsi"/>
          <w:b/>
        </w:rPr>
        <w:t xml:space="preserve"> </w:t>
      </w:r>
      <w:r w:rsidRPr="007617E4">
        <w:rPr>
          <w:rFonts w:cstheme="minorHAnsi"/>
          <w:b/>
        </w:rPr>
        <w:t>clearly communicated.</w:t>
      </w:r>
      <w:r w:rsidRPr="008276EE">
        <w:rPr>
          <w:rFonts w:cstheme="minorHAnsi"/>
          <w:bCs/>
        </w:rPr>
        <w:t xml:space="preserve">  </w:t>
      </w:r>
      <w:r w:rsidR="009C6065" w:rsidRPr="008276EE">
        <w:rPr>
          <w:rFonts w:cstheme="minorHAnsi"/>
          <w:bCs/>
        </w:rPr>
        <w:t>Ideally, t</w:t>
      </w:r>
      <w:r w:rsidRPr="008276EE">
        <w:rPr>
          <w:rFonts w:cstheme="minorHAnsi"/>
          <w:bCs/>
        </w:rPr>
        <w:t xml:space="preserve">here needs to be a joint continuous quality improvement project in place that annually reviews and updates potential sources of reimbursement for CPE </w:t>
      </w:r>
      <w:r w:rsidR="007617E4">
        <w:rPr>
          <w:rFonts w:cstheme="minorHAnsi"/>
          <w:bCs/>
        </w:rPr>
        <w:t>and</w:t>
      </w:r>
      <w:r w:rsidRPr="008276EE">
        <w:rPr>
          <w:rFonts w:cstheme="minorHAnsi"/>
          <w:bCs/>
        </w:rPr>
        <w:t xml:space="preserve"> other allied health programs within the CMS Regulations</w:t>
      </w:r>
      <w:r w:rsidR="009C6065" w:rsidRPr="008276EE">
        <w:rPr>
          <w:rFonts w:cstheme="minorHAnsi"/>
          <w:bCs/>
        </w:rPr>
        <w:t xml:space="preserve"> for the host organization</w:t>
      </w:r>
      <w:r w:rsidRPr="008276EE">
        <w:rPr>
          <w:rFonts w:cstheme="minorHAnsi"/>
          <w:bCs/>
        </w:rPr>
        <w:t>.</w:t>
      </w:r>
    </w:p>
    <w:p w14:paraId="21D9F009" w14:textId="275343FF" w:rsidR="00742A8A" w:rsidRPr="008276EE" w:rsidRDefault="00742A8A" w:rsidP="008276EE">
      <w:pPr>
        <w:spacing w:line="276" w:lineRule="auto"/>
        <w:rPr>
          <w:rFonts w:cstheme="minorHAnsi"/>
        </w:rPr>
      </w:pPr>
    </w:p>
    <w:p w14:paraId="65F9AF77" w14:textId="0877B5D5" w:rsidR="008318C2" w:rsidRPr="008276EE" w:rsidRDefault="008318C2" w:rsidP="008276EE">
      <w:pPr>
        <w:spacing w:line="276" w:lineRule="auto"/>
        <w:rPr>
          <w:rFonts w:cstheme="minorHAnsi"/>
          <w:b/>
        </w:rPr>
      </w:pPr>
      <w:r w:rsidRPr="008276EE">
        <w:rPr>
          <w:rFonts w:cstheme="minorHAnsi"/>
          <w:b/>
          <w:u w:val="single"/>
        </w:rPr>
        <w:t>What Reimbursement Officers Need</w:t>
      </w:r>
      <w:r w:rsidR="00BE4270" w:rsidRPr="008276EE">
        <w:rPr>
          <w:rFonts w:cstheme="minorHAnsi"/>
          <w:b/>
          <w:u w:val="single"/>
        </w:rPr>
        <w:t xml:space="preserve"> </w:t>
      </w:r>
      <w:r w:rsidR="007617E4" w:rsidRPr="008276EE">
        <w:rPr>
          <w:rFonts w:cstheme="minorHAnsi"/>
          <w:b/>
          <w:u w:val="single"/>
        </w:rPr>
        <w:t>from</w:t>
      </w:r>
      <w:r w:rsidR="00BE4270" w:rsidRPr="008276EE">
        <w:rPr>
          <w:rFonts w:cstheme="minorHAnsi"/>
          <w:b/>
          <w:u w:val="single"/>
        </w:rPr>
        <w:t xml:space="preserve"> </w:t>
      </w:r>
      <w:r w:rsidRPr="008276EE">
        <w:rPr>
          <w:rFonts w:cstheme="minorHAnsi"/>
          <w:b/>
          <w:u w:val="single"/>
        </w:rPr>
        <w:t xml:space="preserve">the </w:t>
      </w:r>
      <w:r w:rsidR="004D4F7B" w:rsidRPr="008276EE">
        <w:rPr>
          <w:rFonts w:cstheme="minorHAnsi"/>
          <w:b/>
          <w:u w:val="single"/>
        </w:rPr>
        <w:t>CPE Program</w:t>
      </w:r>
    </w:p>
    <w:p w14:paraId="36CD5C85" w14:textId="77777777" w:rsidR="008318C2" w:rsidRPr="008276EE" w:rsidRDefault="008318C2" w:rsidP="008276EE">
      <w:pPr>
        <w:spacing w:line="276" w:lineRule="auto"/>
        <w:rPr>
          <w:rFonts w:cstheme="minorHAnsi"/>
          <w:bCs/>
          <w:u w:val="single"/>
        </w:rPr>
      </w:pPr>
    </w:p>
    <w:p w14:paraId="1B4ABA6A" w14:textId="74469977" w:rsidR="008318C2" w:rsidRPr="008276EE" w:rsidRDefault="008318C2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Our Accreditation Certificates need to be on file </w:t>
      </w:r>
      <w:r w:rsidR="007617E4">
        <w:rPr>
          <w:rFonts w:cstheme="minorHAnsi"/>
          <w:bCs/>
        </w:rPr>
        <w:t xml:space="preserve">and </w:t>
      </w:r>
      <w:r w:rsidRPr="008276EE">
        <w:rPr>
          <w:rFonts w:cstheme="minorHAnsi"/>
          <w:bCs/>
        </w:rPr>
        <w:t>ke</w:t>
      </w:r>
      <w:r w:rsidR="007617E4">
        <w:rPr>
          <w:rFonts w:cstheme="minorHAnsi"/>
          <w:bCs/>
        </w:rPr>
        <w:t>pt</w:t>
      </w:r>
      <w:r w:rsidRPr="008276EE">
        <w:rPr>
          <w:rFonts w:cstheme="minorHAnsi"/>
          <w:bCs/>
        </w:rPr>
        <w:t xml:space="preserve"> current.</w:t>
      </w:r>
    </w:p>
    <w:p w14:paraId="128B3665" w14:textId="15ED0FCC" w:rsidR="008318C2" w:rsidRPr="008276EE" w:rsidRDefault="008276EE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B</w:t>
      </w:r>
      <w:r w:rsidR="008318C2" w:rsidRPr="008276EE">
        <w:rPr>
          <w:rFonts w:cstheme="minorHAnsi"/>
          <w:bCs/>
        </w:rPr>
        <w:t>y virtue of the CPE Cost Center at each site, all direct costs must be captured and provided at Audit.</w:t>
      </w:r>
    </w:p>
    <w:p w14:paraId="06E3FC59" w14:textId="284F00A6" w:rsidR="008276EE" w:rsidRPr="008276EE" w:rsidRDefault="008318C2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The square footage at each CPE Center needs to be accurately identified and reported.</w:t>
      </w:r>
    </w:p>
    <w:p w14:paraId="218933E5" w14:textId="4AA008A5" w:rsidR="008318C2" w:rsidRPr="008276EE" w:rsidRDefault="007617E4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Identify</w:t>
      </w:r>
      <w:r w:rsidR="008318C2" w:rsidRPr="008276EE">
        <w:rPr>
          <w:rFonts w:cstheme="minorHAnsi"/>
          <w:bCs/>
        </w:rPr>
        <w:t xml:space="preserve"> costs found in other Cost Centers that are directly tied to CPE Education</w:t>
      </w:r>
      <w:r>
        <w:rPr>
          <w:rFonts w:cstheme="minorHAnsi"/>
          <w:bCs/>
        </w:rPr>
        <w:t>. R</w:t>
      </w:r>
      <w:r w:rsidR="008318C2" w:rsidRPr="008276EE">
        <w:rPr>
          <w:rFonts w:cstheme="minorHAnsi"/>
          <w:bCs/>
        </w:rPr>
        <w:t xml:space="preserve">emove any costs that are not related to CPE education activities. </w:t>
      </w:r>
    </w:p>
    <w:p w14:paraId="56FBFF64" w14:textId="08AED1D5" w:rsidR="008276EE" w:rsidRPr="008276EE" w:rsidRDefault="008318C2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 xml:space="preserve">Quarterly Time Studies for everyone involved in the CPE training process, including their assigned areas </w:t>
      </w:r>
      <w:r w:rsidR="007617E4">
        <w:rPr>
          <w:rFonts w:cstheme="minorHAnsi"/>
          <w:bCs/>
        </w:rPr>
        <w:t>and</w:t>
      </w:r>
      <w:r w:rsidRPr="008276EE">
        <w:rPr>
          <w:rFonts w:cstheme="minorHAnsi"/>
          <w:bCs/>
        </w:rPr>
        <w:t xml:space="preserve"> time spent there.</w:t>
      </w:r>
    </w:p>
    <w:p w14:paraId="26F0224E" w14:textId="626BA73F" w:rsidR="008318C2" w:rsidRPr="008276EE" w:rsidRDefault="008276EE" w:rsidP="008276EE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Cs/>
        </w:rPr>
      </w:pPr>
      <w:r w:rsidRPr="008276EE">
        <w:rPr>
          <w:rFonts w:cstheme="minorHAnsi"/>
          <w:bCs/>
        </w:rPr>
        <w:t>Al</w:t>
      </w:r>
      <w:r w:rsidR="008318C2" w:rsidRPr="008276EE">
        <w:rPr>
          <w:rFonts w:cstheme="minorHAnsi"/>
          <w:bCs/>
        </w:rPr>
        <w:t>location of administrative overhead costs are added by the Reimbursement Officer(s) to the allowable reimbursable costs of the CPE Program.  Track this with your Reimbursement Officer.</w:t>
      </w:r>
    </w:p>
    <w:p w14:paraId="40646168" w14:textId="749E281E" w:rsidR="008318C2" w:rsidRDefault="008318C2"/>
    <w:p w14:paraId="72761017" w14:textId="365432AD" w:rsidR="00BE4270" w:rsidRDefault="00BE4270"/>
    <w:p w14:paraId="5728D51D" w14:textId="54849133" w:rsidR="00BE4270" w:rsidRDefault="00BE4270"/>
    <w:p w14:paraId="7CC33F4B" w14:textId="4F10566A" w:rsidR="00BE4270" w:rsidRPr="00BE4270" w:rsidRDefault="00BE4270">
      <w:pPr>
        <w:rPr>
          <w:b/>
          <w:bCs/>
        </w:rPr>
      </w:pPr>
      <w:r>
        <w:rPr>
          <w:b/>
          <w:bCs/>
        </w:rPr>
        <w:t xml:space="preserve">Lerrill White </w:t>
      </w:r>
      <w:r>
        <w:rPr>
          <w:rFonts w:ascii="Calibri" w:hAnsi="Calibri" w:cs="Calibri"/>
          <w:b/>
          <w:bCs/>
        </w:rPr>
        <w:t>©</w:t>
      </w:r>
      <w:r>
        <w:rPr>
          <w:b/>
          <w:bCs/>
        </w:rPr>
        <w:t xml:space="preserve"> 202</w:t>
      </w:r>
      <w:r w:rsidR="00DB08BE">
        <w:rPr>
          <w:b/>
          <w:bCs/>
        </w:rPr>
        <w:t>3</w:t>
      </w:r>
    </w:p>
    <w:sectPr w:rsidR="00BE4270" w:rsidRPr="00BE4270" w:rsidSect="008276EE">
      <w:headerReference w:type="default" r:id="rId7"/>
      <w:pgSz w:w="12240" w:h="15840"/>
      <w:pgMar w:top="1152" w:right="1260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7E45" w14:textId="77777777" w:rsidR="00797E91" w:rsidRDefault="00797E91" w:rsidP="001057CC">
      <w:r>
        <w:separator/>
      </w:r>
    </w:p>
  </w:endnote>
  <w:endnote w:type="continuationSeparator" w:id="0">
    <w:p w14:paraId="4E331F85" w14:textId="77777777" w:rsidR="00797E91" w:rsidRDefault="00797E91" w:rsidP="001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F235" w14:textId="77777777" w:rsidR="00797E91" w:rsidRDefault="00797E91" w:rsidP="001057CC">
      <w:r>
        <w:separator/>
      </w:r>
    </w:p>
  </w:footnote>
  <w:footnote w:type="continuationSeparator" w:id="0">
    <w:p w14:paraId="59102A4C" w14:textId="77777777" w:rsidR="00797E91" w:rsidRDefault="00797E91" w:rsidP="0010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056D" w14:textId="77777777" w:rsidR="001057CC" w:rsidRDefault="001057CC" w:rsidP="001057CC">
    <w:pPr>
      <w:pStyle w:val="Header"/>
      <w:jc w:val="center"/>
    </w:pPr>
    <w:r>
      <w:rPr>
        <w:noProof/>
      </w:rPr>
      <w:drawing>
        <wp:inline distT="0" distB="0" distL="0" distR="0" wp14:anchorId="716A9F6D" wp14:editId="65B9BA6C">
          <wp:extent cx="1041621" cy="415370"/>
          <wp:effectExtent l="0" t="0" r="0" b="3810"/>
          <wp:docPr id="1907773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49153" name="Picture 1524449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02" cy="43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87FBF" w14:textId="3C9B1D22" w:rsidR="001057CC" w:rsidRDefault="007617E4" w:rsidP="001057CC">
    <w:pPr>
      <w:pStyle w:val="Header"/>
      <w:jc w:val="center"/>
    </w:pPr>
    <w:r>
      <w:rPr>
        <w:noProof/>
      </w:rPr>
      <w:pict w14:anchorId="25B988D4">
        <v:rect id="_x0000_i1033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0E5E"/>
    <w:multiLevelType w:val="hybridMultilevel"/>
    <w:tmpl w:val="D63E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D6418"/>
    <w:multiLevelType w:val="hybridMultilevel"/>
    <w:tmpl w:val="2DD26048"/>
    <w:lvl w:ilvl="0" w:tplc="B3266F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B6F531E"/>
    <w:multiLevelType w:val="hybridMultilevel"/>
    <w:tmpl w:val="D98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CCC"/>
    <w:multiLevelType w:val="hybridMultilevel"/>
    <w:tmpl w:val="B32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C036F0">
      <w:start w:val="4"/>
      <w:numFmt w:val="bullet"/>
      <w:lvlText w:val=""/>
      <w:lvlJc w:val="left"/>
      <w:pPr>
        <w:ind w:left="1463" w:hanging="383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5AF4"/>
    <w:multiLevelType w:val="hybridMultilevel"/>
    <w:tmpl w:val="B1BAB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7A83"/>
    <w:multiLevelType w:val="hybridMultilevel"/>
    <w:tmpl w:val="C32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4209"/>
    <w:multiLevelType w:val="hybridMultilevel"/>
    <w:tmpl w:val="4866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0850"/>
    <w:multiLevelType w:val="hybridMultilevel"/>
    <w:tmpl w:val="7BF600E6"/>
    <w:lvl w:ilvl="0" w:tplc="45986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D08F3"/>
    <w:multiLevelType w:val="hybridMultilevel"/>
    <w:tmpl w:val="FA4A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25313"/>
    <w:multiLevelType w:val="hybridMultilevel"/>
    <w:tmpl w:val="411AD7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567705">
    <w:abstractNumId w:val="9"/>
  </w:num>
  <w:num w:numId="2" w16cid:durableId="70399004">
    <w:abstractNumId w:val="7"/>
  </w:num>
  <w:num w:numId="3" w16cid:durableId="58553261">
    <w:abstractNumId w:val="1"/>
  </w:num>
  <w:num w:numId="4" w16cid:durableId="783309205">
    <w:abstractNumId w:val="6"/>
  </w:num>
  <w:num w:numId="5" w16cid:durableId="435641879">
    <w:abstractNumId w:val="4"/>
  </w:num>
  <w:num w:numId="6" w16cid:durableId="1150247346">
    <w:abstractNumId w:val="3"/>
  </w:num>
  <w:num w:numId="7" w16cid:durableId="840200245">
    <w:abstractNumId w:val="5"/>
  </w:num>
  <w:num w:numId="8" w16cid:durableId="1511798997">
    <w:abstractNumId w:val="8"/>
  </w:num>
  <w:num w:numId="9" w16cid:durableId="873536634">
    <w:abstractNumId w:val="2"/>
  </w:num>
  <w:num w:numId="10" w16cid:durableId="167629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A"/>
    <w:rsid w:val="001057CC"/>
    <w:rsid w:val="004D4F7B"/>
    <w:rsid w:val="006A73A6"/>
    <w:rsid w:val="006F144C"/>
    <w:rsid w:val="007354EA"/>
    <w:rsid w:val="00737762"/>
    <w:rsid w:val="00742A8A"/>
    <w:rsid w:val="007617E4"/>
    <w:rsid w:val="00797E91"/>
    <w:rsid w:val="007C422E"/>
    <w:rsid w:val="008276EE"/>
    <w:rsid w:val="008318C2"/>
    <w:rsid w:val="009C6065"/>
    <w:rsid w:val="00BE4270"/>
    <w:rsid w:val="00D373E2"/>
    <w:rsid w:val="00DB08BE"/>
    <w:rsid w:val="00F0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84EB5"/>
  <w15:chartTrackingRefBased/>
  <w15:docId w15:val="{E66F81E3-A866-7444-BD4A-12C3D39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5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7C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Lerrill White</dc:creator>
  <cp:keywords/>
  <dc:description/>
  <cp:lastModifiedBy>Lynnett Glass</cp:lastModifiedBy>
  <cp:revision>2</cp:revision>
  <dcterms:created xsi:type="dcterms:W3CDTF">2024-07-01T11:31:00Z</dcterms:created>
  <dcterms:modified xsi:type="dcterms:W3CDTF">2024-07-01T11:31:00Z</dcterms:modified>
</cp:coreProperties>
</file>